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32"/>
          <w:szCs w:val="32"/>
        </w:rPr>
        <w:t>东人社字〔2017〕36号</w:t>
      </w:r>
    </w:p>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hint="eastAsia"/>
          <w:color w:val="666666"/>
          <w:sz w:val="18"/>
          <w:szCs w:val="18"/>
        </w:rPr>
      </w:pPr>
      <w:r w:rsidRPr="00261BDE">
        <w:rPr>
          <w:rFonts w:ascii="方正小标宋简体" w:eastAsia="方正小标宋简体" w:hAnsi="宋体" w:cs="宋体" w:hint="eastAsia"/>
          <w:color w:val="666666"/>
          <w:sz w:val="44"/>
          <w:szCs w:val="44"/>
        </w:rPr>
        <w:t>东营市人力资源和社会保障局</w:t>
      </w:r>
    </w:p>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hint="eastAsia"/>
          <w:color w:val="666666"/>
          <w:sz w:val="18"/>
          <w:szCs w:val="18"/>
        </w:rPr>
      </w:pPr>
      <w:r w:rsidRPr="00261BDE">
        <w:rPr>
          <w:rFonts w:ascii="方正小标宋简体" w:eastAsia="方正小标宋简体" w:hAnsi="宋体" w:cs="宋体" w:hint="eastAsia"/>
          <w:color w:val="666666"/>
          <w:sz w:val="44"/>
          <w:szCs w:val="44"/>
        </w:rPr>
        <w:t>关于2017年度全市专业技术人员继续教育</w:t>
      </w:r>
    </w:p>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hint="eastAsia"/>
          <w:color w:val="666666"/>
          <w:sz w:val="18"/>
          <w:szCs w:val="18"/>
        </w:rPr>
      </w:pPr>
      <w:r w:rsidRPr="00261BDE">
        <w:rPr>
          <w:rFonts w:ascii="方正小标宋简体" w:eastAsia="方正小标宋简体" w:hAnsi="宋体" w:cs="宋体" w:hint="eastAsia"/>
          <w:color w:val="666666"/>
          <w:sz w:val="44"/>
          <w:szCs w:val="44"/>
        </w:rPr>
        <w:t>学分登记有关问题的通知</w:t>
      </w:r>
      <w:r w:rsidRPr="00261BDE">
        <w:rPr>
          <w:rFonts w:ascii="宋体" w:eastAsia="宋体" w:hAnsi="宋体" w:cs="宋体" w:hint="eastAsia"/>
          <w:color w:val="666666"/>
          <w:sz w:val="44"/>
          <w:szCs w:val="44"/>
        </w:rPr>
        <w:t xml:space="preserve"> </w:t>
      </w:r>
    </w:p>
    <w:p w:rsidR="00261BDE" w:rsidRPr="00261BDE" w:rsidRDefault="00261BDE" w:rsidP="00261BDE">
      <w:pPr>
        <w:adjustRightInd/>
        <w:snapToGrid/>
        <w:spacing w:before="100" w:beforeAutospacing="1" w:after="100" w:afterAutospacing="1" w:line="600" w:lineRule="atLeast"/>
        <w:rPr>
          <w:rFonts w:ascii="宋体" w:eastAsia="宋体" w:hAnsi="宋体" w:cs="宋体" w:hint="eastAsia"/>
          <w:color w:val="666666"/>
          <w:sz w:val="18"/>
          <w:szCs w:val="18"/>
        </w:rPr>
      </w:pP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r w:rsidRPr="00261BDE">
        <w:rPr>
          <w:rFonts w:ascii="方正小标宋简体" w:eastAsia="方正小标宋简体" w:hAnsi="宋体" w:cs="宋体" w:hint="eastAsia"/>
          <w:color w:val="666666"/>
          <w:sz w:val="44"/>
          <w:szCs w:val="44"/>
        </w:rPr>
        <w:t> </w:t>
      </w:r>
      <w:r w:rsidRPr="00261BDE">
        <w:rPr>
          <w:rFonts w:ascii="方正小标宋简体" w:eastAsia="方正小标宋简体" w:hAnsi="宋体" w:cs="宋体" w:hint="eastAsia"/>
          <w:color w:val="666666"/>
          <w:sz w:val="44"/>
          <w:szCs w:val="44"/>
        </w:rPr>
        <w:t xml:space="preserve"> </w:t>
      </w:r>
    </w:p>
    <w:p w:rsidR="00261BDE" w:rsidRPr="00261BDE" w:rsidRDefault="00261BDE" w:rsidP="00261BDE">
      <w:pPr>
        <w:adjustRightInd/>
        <w:snapToGrid/>
        <w:spacing w:before="100" w:beforeAutospacing="1" w:after="100" w:afterAutospacing="1" w:line="600" w:lineRule="atLeast"/>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各县区人力资源社会保障局，市直各部门、单位：</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为深入贯彻《专业技术人员继续教育规定》</w:t>
      </w:r>
      <w:bookmarkStart w:id="0" w:name="_GoBack"/>
      <w:bookmarkEnd w:id="0"/>
      <w:r w:rsidRPr="00261BDE">
        <w:rPr>
          <w:rFonts w:ascii="仿宋_GB2312" w:eastAsia="仿宋_GB2312" w:hAnsi="宋体" w:cs="宋体" w:hint="eastAsia"/>
          <w:color w:val="666666"/>
          <w:sz w:val="32"/>
          <w:szCs w:val="32"/>
        </w:rPr>
        <w:t>（</w:t>
      </w:r>
      <w:proofErr w:type="gramStart"/>
      <w:r w:rsidRPr="00261BDE">
        <w:rPr>
          <w:rFonts w:ascii="仿宋_GB2312" w:eastAsia="仿宋_GB2312" w:hAnsi="宋体" w:cs="宋体" w:hint="eastAsia"/>
          <w:color w:val="666666"/>
          <w:sz w:val="32"/>
          <w:szCs w:val="32"/>
        </w:rPr>
        <w:t>人社部</w:t>
      </w:r>
      <w:proofErr w:type="gramEnd"/>
      <w:r w:rsidRPr="00261BDE">
        <w:rPr>
          <w:rFonts w:ascii="仿宋_GB2312" w:eastAsia="仿宋_GB2312" w:hAnsi="宋体" w:cs="宋体" w:hint="eastAsia"/>
          <w:color w:val="666666"/>
          <w:sz w:val="32"/>
          <w:szCs w:val="32"/>
        </w:rPr>
        <w:t>令第25号）和省人力资源社会保障厅、省财政厅《关于贯彻〈专业技术人员继续教育规定〉的实施意见》（鲁</w:t>
      </w:r>
      <w:proofErr w:type="gramStart"/>
      <w:r w:rsidRPr="00261BDE">
        <w:rPr>
          <w:rFonts w:ascii="仿宋_GB2312" w:eastAsia="仿宋_GB2312" w:hAnsi="宋体" w:cs="宋体" w:hint="eastAsia"/>
          <w:color w:val="666666"/>
          <w:sz w:val="32"/>
          <w:szCs w:val="32"/>
        </w:rPr>
        <w:t>人社发</w:t>
      </w:r>
      <w:proofErr w:type="gramEnd"/>
      <w:r w:rsidRPr="00261BDE">
        <w:rPr>
          <w:rFonts w:ascii="仿宋_GB2312" w:eastAsia="仿宋_GB2312" w:hAnsi="宋体" w:cs="宋体" w:hint="eastAsia"/>
          <w:color w:val="666666"/>
          <w:sz w:val="32"/>
          <w:szCs w:val="32"/>
        </w:rPr>
        <w:t>〔2016〕10号），结合我市实际，现就2017年度全市专业技术人员继续教育学</w:t>
      </w:r>
      <w:proofErr w:type="gramStart"/>
      <w:r w:rsidRPr="00261BDE">
        <w:rPr>
          <w:rFonts w:ascii="仿宋_GB2312" w:eastAsia="仿宋_GB2312" w:hAnsi="宋体" w:cs="宋体" w:hint="eastAsia"/>
          <w:color w:val="666666"/>
          <w:sz w:val="32"/>
          <w:szCs w:val="32"/>
        </w:rPr>
        <w:t>分登记</w:t>
      </w:r>
      <w:proofErr w:type="gramEnd"/>
      <w:r w:rsidRPr="00261BDE">
        <w:rPr>
          <w:rFonts w:ascii="仿宋_GB2312" w:eastAsia="仿宋_GB2312" w:hAnsi="宋体" w:cs="宋体" w:hint="eastAsia"/>
          <w:color w:val="666666"/>
          <w:sz w:val="32"/>
          <w:szCs w:val="32"/>
        </w:rPr>
        <w:t>有关问题通知如下：</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黑体" w:eastAsia="黑体" w:hAnsi="黑体" w:cs="宋体" w:hint="eastAsia"/>
          <w:color w:val="666666"/>
          <w:sz w:val="32"/>
          <w:szCs w:val="32"/>
        </w:rPr>
        <w:t>一、学分登记范围</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参加2017年度职称评审及聘任事业单位更高等级岗位的专业技术人员。</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黑体" w:eastAsia="黑体" w:hAnsi="黑体" w:cs="宋体" w:hint="eastAsia"/>
          <w:color w:val="666666"/>
          <w:sz w:val="32"/>
          <w:szCs w:val="32"/>
        </w:rPr>
        <w:t>二、学分登记方式</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2017年度继续教育学</w:t>
      </w:r>
      <w:proofErr w:type="gramStart"/>
      <w:r w:rsidRPr="00261BDE">
        <w:rPr>
          <w:rFonts w:ascii="仿宋_GB2312" w:eastAsia="仿宋_GB2312" w:hAnsi="宋体" w:cs="宋体" w:hint="eastAsia"/>
          <w:color w:val="666666"/>
          <w:sz w:val="32"/>
          <w:szCs w:val="32"/>
        </w:rPr>
        <w:t>分登记</w:t>
      </w:r>
      <w:proofErr w:type="gramEnd"/>
      <w:r w:rsidRPr="00261BDE">
        <w:rPr>
          <w:rFonts w:ascii="仿宋_GB2312" w:eastAsia="仿宋_GB2312" w:hAnsi="宋体" w:cs="宋体" w:hint="eastAsia"/>
          <w:color w:val="666666"/>
          <w:sz w:val="32"/>
          <w:szCs w:val="32"/>
        </w:rPr>
        <w:t>工作仍实行个人申报、用人单位审核、人力资源社会保障部门审定的模式。参加人力资源社会保障部门组织</w:t>
      </w:r>
      <w:proofErr w:type="gramStart"/>
      <w:r w:rsidRPr="00261BDE">
        <w:rPr>
          <w:rFonts w:ascii="仿宋_GB2312" w:eastAsia="仿宋_GB2312" w:hAnsi="宋体" w:cs="宋体" w:hint="eastAsia"/>
          <w:color w:val="666666"/>
          <w:sz w:val="32"/>
          <w:szCs w:val="32"/>
        </w:rPr>
        <w:t>的公需科目</w:t>
      </w:r>
      <w:proofErr w:type="gramEnd"/>
      <w:r w:rsidRPr="00261BDE">
        <w:rPr>
          <w:rFonts w:ascii="仿宋_GB2312" w:eastAsia="仿宋_GB2312" w:hAnsi="宋体" w:cs="宋体" w:hint="eastAsia"/>
          <w:color w:val="666666"/>
          <w:sz w:val="32"/>
          <w:szCs w:val="32"/>
        </w:rPr>
        <w:t>培训且考试合格的，</w:t>
      </w:r>
      <w:r w:rsidRPr="00261BDE">
        <w:rPr>
          <w:rFonts w:ascii="仿宋_GB2312" w:eastAsia="仿宋_GB2312" w:hAnsi="宋体" w:cs="宋体" w:hint="eastAsia"/>
          <w:color w:val="666666"/>
          <w:sz w:val="32"/>
          <w:szCs w:val="32"/>
        </w:rPr>
        <w:lastRenderedPageBreak/>
        <w:t>由人力资源社会保障部门直接登记学分。其他继续教育项目，由用人单位统一组织提报，经审核后登记相应学分。达到规定学分要求的，方可申请打印《东营市专业技术人员继续教育合格证书》。</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黑体" w:eastAsia="黑体" w:hAnsi="黑体" w:cs="宋体" w:hint="eastAsia"/>
          <w:color w:val="666666"/>
          <w:sz w:val="32"/>
          <w:szCs w:val="32"/>
        </w:rPr>
        <w:t>三、继续教育学分折算方法</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专业技术人员通过以下方式参加继续教育的，经审核认可，可登记当年继续教育学分：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宋体" w:eastAsia="宋体" w:hAnsi="宋体" w:cs="宋体" w:hint="eastAsia"/>
          <w:color w:val="666666"/>
          <w:sz w:val="32"/>
          <w:szCs w:val="32"/>
        </w:rPr>
        <w:t>（一）培训</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培训项目包括参加人力资源社会保障部门组织的继续教育培训，经同级人力资源社会保障部门备案认可的业务主管部门组织的继续教育培训和行政学院（校）组织的继续教育培训，省级以上业务主管部门组织的继续教育培训和按照《中共东营市委组织部东营市人力资源和社会保障局关于进一步规范机关事业单位工作人员管理有关问题的通知》（东</w:t>
      </w:r>
      <w:proofErr w:type="gramStart"/>
      <w:r w:rsidRPr="00261BDE">
        <w:rPr>
          <w:rFonts w:ascii="仿宋_GB2312" w:eastAsia="仿宋_GB2312" w:hAnsi="宋体" w:cs="宋体" w:hint="eastAsia"/>
          <w:color w:val="666666"/>
          <w:sz w:val="32"/>
          <w:szCs w:val="32"/>
        </w:rPr>
        <w:t>人社发</w:t>
      </w:r>
      <w:proofErr w:type="gramEnd"/>
      <w:r w:rsidRPr="00261BDE">
        <w:rPr>
          <w:rFonts w:ascii="仿宋_GB2312" w:eastAsia="仿宋_GB2312" w:hAnsi="宋体" w:cs="宋体" w:hint="eastAsia"/>
          <w:color w:val="666666"/>
          <w:sz w:val="32"/>
          <w:szCs w:val="32"/>
        </w:rPr>
        <w:t xml:space="preserve">〔2015〕1号）规定经批准的脱产学习培训。 </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宋体" w:eastAsia="宋体" w:hAnsi="宋体" w:cs="宋体" w:hint="eastAsia"/>
          <w:color w:val="666666"/>
          <w:sz w:val="32"/>
          <w:szCs w:val="32"/>
        </w:rPr>
        <w:t>（二）成果奖励</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成果奖励主要是指各级科技进步评审委员会评出的科技进步奖；社会科学成果评审委员会评出的社会科学成果奖；自然科学学术成果评审委员会评出的自然科学学术成</w:t>
      </w:r>
      <w:r w:rsidRPr="00261BDE">
        <w:rPr>
          <w:rFonts w:ascii="仿宋_GB2312" w:eastAsia="仿宋_GB2312" w:hAnsi="宋体" w:cs="宋体" w:hint="eastAsia"/>
          <w:color w:val="666666"/>
          <w:sz w:val="32"/>
          <w:szCs w:val="32"/>
        </w:rPr>
        <w:lastRenderedPageBreak/>
        <w:t>果奖。各类成果的级别按评审委员会所代表的政府级别确定。所获成果有等次的，前三位研究人员按其成果级别及等次确定学分，第四位以后人员均按相应级别的下一等次确定学分。县级成果奖励的第四位以后人员按下</w:t>
      </w:r>
      <w:proofErr w:type="gramStart"/>
      <w:r w:rsidRPr="00261BDE">
        <w:rPr>
          <w:rFonts w:ascii="仿宋_GB2312" w:eastAsia="仿宋_GB2312" w:hAnsi="宋体" w:cs="宋体" w:hint="eastAsia"/>
          <w:color w:val="666666"/>
          <w:sz w:val="32"/>
          <w:szCs w:val="32"/>
        </w:rPr>
        <w:t>一</w:t>
      </w:r>
      <w:proofErr w:type="gramEnd"/>
      <w:r w:rsidRPr="00261BDE">
        <w:rPr>
          <w:rFonts w:ascii="仿宋_GB2312" w:eastAsia="仿宋_GB2312" w:hAnsi="宋体" w:cs="宋体" w:hint="eastAsia"/>
          <w:color w:val="666666"/>
          <w:sz w:val="32"/>
          <w:szCs w:val="32"/>
        </w:rPr>
        <w:t>等级奖励确定学分，三等奖的第四位以后均记3学分。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奖励成果认定标准为获奖证书或正式文件。其他非政府部门指定或授权的各行业协会、学会、研究会奖励不予认定。同一科研成果获得多项奖励的只计算最高奖，不重复计算。集体科研成果获奖，只认定奖励证书（或文件）标明作者。</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宋体" w:eastAsia="宋体" w:hAnsi="宋体" w:cs="宋体" w:hint="eastAsia"/>
          <w:color w:val="666666"/>
          <w:sz w:val="32"/>
          <w:szCs w:val="32"/>
        </w:rPr>
        <w:t>（三）科研</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参加专业课题研究，分别按国家级、省部级、市厅级、县处级课题确定学分。其前三位研究人员按级别确定学分，第四位以后人员均按下</w:t>
      </w:r>
      <w:proofErr w:type="gramStart"/>
      <w:r w:rsidRPr="00261BDE">
        <w:rPr>
          <w:rFonts w:ascii="仿宋_GB2312" w:eastAsia="仿宋_GB2312" w:hAnsi="宋体" w:cs="宋体" w:hint="eastAsia"/>
          <w:color w:val="666666"/>
          <w:sz w:val="32"/>
          <w:szCs w:val="32"/>
        </w:rPr>
        <w:t>一</w:t>
      </w:r>
      <w:proofErr w:type="gramEnd"/>
      <w:r w:rsidRPr="00261BDE">
        <w:rPr>
          <w:rFonts w:ascii="仿宋_GB2312" w:eastAsia="仿宋_GB2312" w:hAnsi="宋体" w:cs="宋体" w:hint="eastAsia"/>
          <w:color w:val="666666"/>
          <w:sz w:val="32"/>
          <w:szCs w:val="32"/>
        </w:rPr>
        <w:t>级别确定学分，县级课题的第四位以后人员均记3学分。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非政府部门指定或授权的各行业协会、学会、研究会课题不予认定；各种以鉴定方式通过的计划外自选课题不予认定。专业技术人员承担完成的课题要与其专业或岗位工作相关，一般以立项通知、最终成果</w:t>
      </w:r>
      <w:proofErr w:type="gramStart"/>
      <w:r w:rsidRPr="00261BDE">
        <w:rPr>
          <w:rFonts w:ascii="仿宋_GB2312" w:eastAsia="仿宋_GB2312" w:hAnsi="宋体" w:cs="宋体" w:hint="eastAsia"/>
          <w:color w:val="666666"/>
          <w:sz w:val="32"/>
          <w:szCs w:val="32"/>
        </w:rPr>
        <w:t>及结项证书</w:t>
      </w:r>
      <w:proofErr w:type="gramEnd"/>
      <w:r w:rsidRPr="00261BDE">
        <w:rPr>
          <w:rFonts w:ascii="仿宋_GB2312" w:eastAsia="仿宋_GB2312" w:hAnsi="宋体" w:cs="宋体" w:hint="eastAsia"/>
          <w:color w:val="666666"/>
          <w:sz w:val="32"/>
          <w:szCs w:val="32"/>
        </w:rPr>
        <w:t>等整套原件实物材料为认定依据。</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宋体" w:eastAsia="宋体" w:hAnsi="宋体" w:cs="宋体" w:hint="eastAsia"/>
          <w:color w:val="666666"/>
          <w:sz w:val="32"/>
          <w:szCs w:val="32"/>
        </w:rPr>
        <w:lastRenderedPageBreak/>
        <w:t>（四）专利</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专业技术人员以发明人（设计人）身份获得的发明专利、实用新型专利和外观设计专利，分别参照国家级、地市级、县级科研项目标准确定学分。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宋体" w:eastAsia="宋体" w:hAnsi="宋体" w:cs="宋体" w:hint="eastAsia"/>
          <w:color w:val="666666"/>
          <w:sz w:val="32"/>
          <w:szCs w:val="32"/>
        </w:rPr>
        <w:t>（五）学术论文</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1.论（译）文</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学术论文包括在具有CN刊号的学术期刊和报纸上发表的论（译）文和在东营市内部刊物（须有山东省</w:t>
      </w:r>
      <w:proofErr w:type="gramStart"/>
      <w:r w:rsidRPr="00261BDE">
        <w:rPr>
          <w:rFonts w:ascii="仿宋_GB2312" w:eastAsia="仿宋_GB2312" w:hAnsi="宋体" w:cs="宋体" w:hint="eastAsia"/>
          <w:color w:val="666666"/>
          <w:sz w:val="32"/>
          <w:szCs w:val="32"/>
        </w:rPr>
        <w:t>准印号或</w:t>
      </w:r>
      <w:proofErr w:type="gramEnd"/>
      <w:r w:rsidRPr="00261BDE">
        <w:rPr>
          <w:rFonts w:ascii="仿宋_GB2312" w:eastAsia="仿宋_GB2312" w:hAnsi="宋体" w:cs="宋体" w:hint="eastAsia"/>
          <w:color w:val="666666"/>
          <w:sz w:val="32"/>
          <w:szCs w:val="32"/>
        </w:rPr>
        <w:t>东营市准印号）上发表的学术论文。论文正文字数要求，在期刊上发表的原则上不少于2500字，报纸原则上不少于1500字。下列情况不予认定：在无刊号或省市内部</w:t>
      </w:r>
      <w:proofErr w:type="gramStart"/>
      <w:r w:rsidRPr="00261BDE">
        <w:rPr>
          <w:rFonts w:ascii="仿宋_GB2312" w:eastAsia="仿宋_GB2312" w:hAnsi="宋体" w:cs="宋体" w:hint="eastAsia"/>
          <w:color w:val="666666"/>
          <w:sz w:val="32"/>
          <w:szCs w:val="32"/>
        </w:rPr>
        <w:t>准印号的</w:t>
      </w:r>
      <w:proofErr w:type="gramEnd"/>
      <w:r w:rsidRPr="00261BDE">
        <w:rPr>
          <w:rFonts w:ascii="仿宋_GB2312" w:eastAsia="仿宋_GB2312" w:hAnsi="宋体" w:cs="宋体" w:hint="eastAsia"/>
          <w:color w:val="666666"/>
          <w:sz w:val="32"/>
          <w:szCs w:val="32"/>
        </w:rPr>
        <w:t>印刷物上发表的文章；评论、文摘、短篇报道、科普文章、科技新闻等；会议简报、动态、讲座等资料性质的材料。</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按报刊级别分别确定学分，报刊级别原则上按办刊主管部门所代表的政府级别确定。下列论文可按国家级期刊对待：在世界著名检索刊物SCI（科学引文索引）、EI（工程引文索引）上收录的论文；在国家重点本科院校（211、985院校）学报上发表的论文。核心期刊范围参见下列评价体系之一：北京大学编制的中文核心期刊要目总</w:t>
      </w:r>
      <w:proofErr w:type="gramStart"/>
      <w:r w:rsidRPr="00261BDE">
        <w:rPr>
          <w:rFonts w:ascii="仿宋_GB2312" w:eastAsia="仿宋_GB2312" w:hAnsi="宋体" w:cs="宋体" w:hint="eastAsia"/>
          <w:color w:val="666666"/>
          <w:sz w:val="32"/>
          <w:szCs w:val="32"/>
        </w:rPr>
        <w:t>览</w:t>
      </w:r>
      <w:proofErr w:type="gramEnd"/>
      <w:r w:rsidRPr="00261BDE">
        <w:rPr>
          <w:rFonts w:ascii="仿宋_GB2312" w:eastAsia="仿宋_GB2312" w:hAnsi="宋体" w:cs="宋体" w:hint="eastAsia"/>
          <w:color w:val="666666"/>
          <w:sz w:val="32"/>
          <w:szCs w:val="32"/>
        </w:rPr>
        <w:t>，南京</w:t>
      </w:r>
      <w:r w:rsidRPr="00261BDE">
        <w:rPr>
          <w:rFonts w:ascii="仿宋_GB2312" w:eastAsia="仿宋_GB2312" w:hAnsi="宋体" w:cs="宋体" w:hint="eastAsia"/>
          <w:color w:val="666666"/>
          <w:sz w:val="32"/>
          <w:szCs w:val="32"/>
        </w:rPr>
        <w:lastRenderedPageBreak/>
        <w:t>大学编制的中文社会科学引文索引（CSSCI）来源期刊，中国社会科学院编制的中国人文社会科学核心期刊等。</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2.论文集（增刊）</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各类论文集以及各类刊物的增刊一律</w:t>
      </w:r>
      <w:proofErr w:type="gramStart"/>
      <w:r w:rsidRPr="00261BDE">
        <w:rPr>
          <w:rFonts w:ascii="仿宋_GB2312" w:eastAsia="仿宋_GB2312" w:hAnsi="宋体" w:cs="宋体" w:hint="eastAsia"/>
          <w:color w:val="666666"/>
          <w:sz w:val="32"/>
          <w:szCs w:val="32"/>
        </w:rPr>
        <w:t>按交流</w:t>
      </w:r>
      <w:proofErr w:type="gramEnd"/>
      <w:r w:rsidRPr="00261BDE">
        <w:rPr>
          <w:rFonts w:ascii="仿宋_GB2312" w:eastAsia="仿宋_GB2312" w:hAnsi="宋体" w:cs="宋体" w:hint="eastAsia"/>
          <w:color w:val="666666"/>
          <w:sz w:val="32"/>
          <w:szCs w:val="32"/>
        </w:rPr>
        <w:t>论文三等奖确定，其级别根据论文征集的范围分国家级、省部级、地市级三级。</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3.学术会议交流论文</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学术交流会议的级别，按照召开会议的学会代表的政府级别分别确定，以主办单位颁发的证书、论文集和会议文件（三者同时具备）为依据登记学分。会议交流论文有等次的，按相应级别确定学分，不设等次的，按相应级别的三等奖确定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凡两人以上共同发表的学术论文，其学分根据论文确定的总学分在各位作者之间平均分配（学分计算取整数，平均后所余学分可依次追加前几位作者）。</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宋体" w:eastAsia="宋体" w:hAnsi="宋体" w:cs="宋体" w:hint="eastAsia"/>
          <w:color w:val="666666"/>
          <w:sz w:val="32"/>
          <w:szCs w:val="32"/>
        </w:rPr>
        <w:t>（六）著作</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著作指出版社正式出版物，须有ISBN书号。</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1.专著，指由一人或多人研究撰写的著作。其级别根据出版社的级别确定。其第一撰稿人按学分折算表中专著</w:t>
      </w:r>
      <w:r w:rsidRPr="00261BDE">
        <w:rPr>
          <w:rFonts w:ascii="仿宋_GB2312" w:eastAsia="仿宋_GB2312" w:hAnsi="宋体" w:cs="宋体" w:hint="eastAsia"/>
          <w:color w:val="666666"/>
          <w:sz w:val="32"/>
          <w:szCs w:val="32"/>
        </w:rPr>
        <w:lastRenderedPageBreak/>
        <w:t>一位计学分，第二、三撰稿人分别按专著二位、三位计学分；第三位以后人员，均按同级发表论文登记学分。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2.编著，指由一人或多人合编的书籍，其级别按出版社级别确定，其</w:t>
      </w:r>
      <w:proofErr w:type="gramStart"/>
      <w:r w:rsidRPr="00261BDE">
        <w:rPr>
          <w:rFonts w:ascii="仿宋_GB2312" w:eastAsia="仿宋_GB2312" w:hAnsi="宋体" w:cs="宋体" w:hint="eastAsia"/>
          <w:color w:val="666666"/>
          <w:sz w:val="32"/>
          <w:szCs w:val="32"/>
        </w:rPr>
        <w:t>主编按</w:t>
      </w:r>
      <w:proofErr w:type="gramEnd"/>
      <w:r w:rsidRPr="00261BDE">
        <w:rPr>
          <w:rFonts w:ascii="仿宋_GB2312" w:eastAsia="仿宋_GB2312" w:hAnsi="宋体" w:cs="宋体" w:hint="eastAsia"/>
          <w:color w:val="666666"/>
          <w:sz w:val="32"/>
          <w:szCs w:val="32"/>
        </w:rPr>
        <w:t>专著三位计学分，副</w:t>
      </w:r>
      <w:proofErr w:type="gramStart"/>
      <w:r w:rsidRPr="00261BDE">
        <w:rPr>
          <w:rFonts w:ascii="仿宋_GB2312" w:eastAsia="仿宋_GB2312" w:hAnsi="宋体" w:cs="宋体" w:hint="eastAsia"/>
          <w:color w:val="666666"/>
          <w:sz w:val="32"/>
          <w:szCs w:val="32"/>
        </w:rPr>
        <w:t>主编按</w:t>
      </w:r>
      <w:proofErr w:type="gramEnd"/>
      <w:r w:rsidRPr="00261BDE">
        <w:rPr>
          <w:rFonts w:ascii="仿宋_GB2312" w:eastAsia="仿宋_GB2312" w:hAnsi="宋体" w:cs="宋体" w:hint="eastAsia"/>
          <w:color w:val="666666"/>
          <w:sz w:val="32"/>
          <w:szCs w:val="32"/>
        </w:rPr>
        <w:t>同级发表论文计学分，其余参加编写人员按同级学术交流论文一等奖登记学分。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宋体" w:eastAsia="宋体" w:hAnsi="宋体" w:cs="宋体" w:hint="eastAsia"/>
          <w:color w:val="666666"/>
          <w:sz w:val="32"/>
          <w:szCs w:val="32"/>
        </w:rPr>
        <w:t>（七）考试</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2016年起专业技术人员参加全国职称外语和计算机应用能力考试合格的，其成绩可登记继续教育学分。</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科研项目或论文著作与成果奖励为同一成果或内容的，按最高标准折算学分，不重复计算。</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培训、成果科研、论文著作、考试学分</w:t>
      </w:r>
      <w:proofErr w:type="gramStart"/>
      <w:r w:rsidRPr="00261BDE">
        <w:rPr>
          <w:rFonts w:ascii="仿宋_GB2312" w:eastAsia="仿宋_GB2312" w:hAnsi="宋体" w:cs="宋体" w:hint="eastAsia"/>
          <w:color w:val="666666"/>
          <w:sz w:val="32"/>
          <w:szCs w:val="32"/>
        </w:rPr>
        <w:t>折算见</w:t>
      </w:r>
      <w:proofErr w:type="gramEnd"/>
      <w:r w:rsidRPr="00261BDE">
        <w:rPr>
          <w:rFonts w:ascii="仿宋_GB2312" w:eastAsia="仿宋_GB2312" w:hAnsi="宋体" w:cs="宋体" w:hint="eastAsia"/>
          <w:color w:val="666666"/>
          <w:sz w:val="32"/>
          <w:szCs w:val="32"/>
        </w:rPr>
        <w:t>下表（单位：学分）</w:t>
      </w:r>
    </w:p>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hint="eastAsia"/>
          <w:color w:val="666666"/>
          <w:sz w:val="18"/>
          <w:szCs w:val="18"/>
        </w:rPr>
      </w:pPr>
      <w:r w:rsidRPr="00261BDE">
        <w:rPr>
          <w:rFonts w:ascii="黑体" w:eastAsia="黑体" w:hAnsi="黑体" w:cs="宋体" w:hint="eastAsia"/>
          <w:color w:val="666666"/>
          <w:sz w:val="32"/>
          <w:szCs w:val="32"/>
        </w:rPr>
        <w:t>培训</w:t>
      </w:r>
    </w:p>
    <w:tbl>
      <w:tblPr>
        <w:tblW w:w="888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080"/>
        <w:gridCol w:w="1260"/>
        <w:gridCol w:w="1260"/>
        <w:gridCol w:w="1155"/>
        <w:gridCol w:w="1380"/>
        <w:gridCol w:w="1305"/>
      </w:tblGrid>
      <w:tr w:rsidR="00261BDE" w:rsidRPr="00261BDE">
        <w:trPr>
          <w:trHeight w:val="825"/>
        </w:trPr>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脱产学习、出国考察</w:t>
            </w:r>
          </w:p>
        </w:tc>
        <w:tc>
          <w:tcPr>
            <w:tcW w:w="10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一个月内</w:t>
            </w:r>
          </w:p>
        </w:tc>
        <w:tc>
          <w:tcPr>
            <w:tcW w:w="12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一个月以上不满二个月</w:t>
            </w:r>
          </w:p>
        </w:tc>
        <w:tc>
          <w:tcPr>
            <w:tcW w:w="12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二个月以上不满三个月</w:t>
            </w:r>
          </w:p>
        </w:tc>
        <w:tc>
          <w:tcPr>
            <w:tcW w:w="115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三个月以上不满四个月</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四个月以上不满五个月</w:t>
            </w:r>
          </w:p>
        </w:tc>
        <w:tc>
          <w:tcPr>
            <w:tcW w:w="13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半年以上一年以下</w:t>
            </w:r>
          </w:p>
        </w:tc>
      </w:tr>
      <w:tr w:rsidR="00261BDE" w:rsidRPr="00261BDE">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1BDE" w:rsidRPr="00261BDE" w:rsidRDefault="00261BDE" w:rsidP="00261BDE">
            <w:pPr>
              <w:adjustRightInd/>
              <w:snapToGrid/>
              <w:spacing w:after="0"/>
              <w:rPr>
                <w:rFonts w:ascii="宋体" w:eastAsia="宋体" w:hAnsi="宋体" w:cs="宋体"/>
                <w:color w:val="666666"/>
                <w:sz w:val="18"/>
                <w:szCs w:val="18"/>
              </w:rPr>
            </w:pPr>
          </w:p>
        </w:tc>
        <w:tc>
          <w:tcPr>
            <w:tcW w:w="1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10</w:t>
            </w:r>
          </w:p>
        </w:tc>
        <w:tc>
          <w:tcPr>
            <w:tcW w:w="12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20</w:t>
            </w:r>
          </w:p>
        </w:tc>
        <w:tc>
          <w:tcPr>
            <w:tcW w:w="12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25</w:t>
            </w:r>
          </w:p>
        </w:tc>
        <w:tc>
          <w:tcPr>
            <w:tcW w:w="11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30</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35</w:t>
            </w:r>
          </w:p>
        </w:tc>
        <w:tc>
          <w:tcPr>
            <w:tcW w:w="13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40</w:t>
            </w:r>
          </w:p>
        </w:tc>
      </w:tr>
      <w:tr w:rsidR="00261BDE" w:rsidRPr="00261BDE">
        <w:trPr>
          <w:cantSplit/>
          <w:trHeight w:val="705"/>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业务培训班、研修班</w:t>
            </w:r>
          </w:p>
        </w:tc>
        <w:tc>
          <w:tcPr>
            <w:tcW w:w="744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每天折算1学分(省级以上高级研修班每天2学分)</w:t>
            </w:r>
          </w:p>
        </w:tc>
      </w:tr>
      <w:tr w:rsidR="00261BDE" w:rsidRPr="00261BDE">
        <w:trPr>
          <w:cantSplit/>
          <w:trHeight w:val="51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lastRenderedPageBreak/>
              <w:t>学术会议、学术讲座</w:t>
            </w:r>
          </w:p>
        </w:tc>
        <w:tc>
          <w:tcPr>
            <w:tcW w:w="744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每天折算3学分</w:t>
            </w:r>
          </w:p>
        </w:tc>
      </w:tr>
      <w:tr w:rsidR="00261BDE" w:rsidRPr="00261BDE">
        <w:trPr>
          <w:cantSplit/>
          <w:trHeight w:val="30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国（境）外培训</w:t>
            </w:r>
          </w:p>
        </w:tc>
        <w:tc>
          <w:tcPr>
            <w:tcW w:w="744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每天折算5学分</w:t>
            </w:r>
          </w:p>
        </w:tc>
      </w:tr>
      <w:tr w:rsidR="00261BDE" w:rsidRPr="00261BDE">
        <w:trPr>
          <w:cantSplit/>
          <w:trHeight w:val="60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学历学位教育</w:t>
            </w:r>
          </w:p>
        </w:tc>
        <w:tc>
          <w:tcPr>
            <w:tcW w:w="744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学历学位毕业的，每年计20学分；自学考试，每门计5学分。</w:t>
            </w:r>
          </w:p>
        </w:tc>
      </w:tr>
    </w:tbl>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hint="eastAsia"/>
          <w:color w:val="666666"/>
          <w:sz w:val="18"/>
          <w:szCs w:val="18"/>
        </w:rPr>
      </w:pPr>
      <w:r w:rsidRPr="00261BDE">
        <w:rPr>
          <w:rFonts w:ascii="黑体" w:eastAsia="黑体" w:hAnsi="黑体" w:cs="宋体" w:hint="eastAsia"/>
          <w:color w:val="666666"/>
          <w:sz w:val="32"/>
          <w:szCs w:val="32"/>
        </w:rPr>
        <w:t>成果科研</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0"/>
        <w:gridCol w:w="1610"/>
        <w:gridCol w:w="1432"/>
        <w:gridCol w:w="1521"/>
        <w:gridCol w:w="2383"/>
      </w:tblGrid>
      <w:tr w:rsidR="00261BDE" w:rsidRPr="00261BDE">
        <w:trPr>
          <w:trHeight w:val="285"/>
        </w:trPr>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after="0"/>
              <w:rPr>
                <w:rFonts w:ascii="宋体" w:eastAsia="宋体" w:hAnsi="宋体" w:cs="宋体"/>
                <w:color w:val="666666"/>
                <w:sz w:val="18"/>
                <w:szCs w:val="18"/>
              </w:rPr>
            </w:pPr>
          </w:p>
        </w:tc>
        <w:tc>
          <w:tcPr>
            <w:tcW w:w="16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一等奖</w:t>
            </w:r>
          </w:p>
        </w:tc>
        <w:tc>
          <w:tcPr>
            <w:tcW w:w="14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二等奖</w:t>
            </w:r>
          </w:p>
        </w:tc>
        <w:tc>
          <w:tcPr>
            <w:tcW w:w="153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三等奖</w:t>
            </w:r>
          </w:p>
        </w:tc>
        <w:tc>
          <w:tcPr>
            <w:tcW w:w="24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科研项目</w:t>
            </w:r>
          </w:p>
        </w:tc>
      </w:tr>
      <w:tr w:rsidR="00261BDE" w:rsidRPr="00261BDE">
        <w:trPr>
          <w:trHeight w:val="315"/>
        </w:trPr>
        <w:tc>
          <w:tcPr>
            <w:tcW w:w="15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 xml:space="preserve">县 </w:t>
            </w:r>
            <w:r w:rsidRPr="00261BDE">
              <w:rPr>
                <w:rFonts w:ascii="仿宋_GB2312" w:eastAsia="仿宋_GB2312" w:hAnsi="宋体" w:cs="宋体" w:hint="eastAsia"/>
                <w:color w:val="666666"/>
                <w:sz w:val="24"/>
                <w:szCs w:val="24"/>
              </w:rPr>
              <w:t> </w:t>
            </w:r>
            <w:r w:rsidRPr="00261BDE">
              <w:rPr>
                <w:rFonts w:ascii="仿宋_GB2312" w:eastAsia="仿宋_GB2312" w:hAnsi="宋体" w:cs="宋体" w:hint="eastAsia"/>
                <w:color w:val="666666"/>
                <w:sz w:val="24"/>
                <w:szCs w:val="24"/>
              </w:rPr>
              <w:t>级</w:t>
            </w:r>
          </w:p>
        </w:tc>
        <w:tc>
          <w:tcPr>
            <w:tcW w:w="16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10</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8</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6</w:t>
            </w:r>
          </w:p>
        </w:tc>
        <w:tc>
          <w:tcPr>
            <w:tcW w:w="24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8</w:t>
            </w:r>
          </w:p>
        </w:tc>
      </w:tr>
      <w:tr w:rsidR="00261BDE" w:rsidRPr="00261BDE">
        <w:trPr>
          <w:trHeight w:val="285"/>
        </w:trPr>
        <w:tc>
          <w:tcPr>
            <w:tcW w:w="15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 xml:space="preserve">市 </w:t>
            </w:r>
            <w:r w:rsidRPr="00261BDE">
              <w:rPr>
                <w:rFonts w:ascii="仿宋_GB2312" w:eastAsia="仿宋_GB2312" w:hAnsi="宋体" w:cs="宋体" w:hint="eastAsia"/>
                <w:color w:val="666666"/>
                <w:sz w:val="24"/>
                <w:szCs w:val="24"/>
              </w:rPr>
              <w:t> </w:t>
            </w:r>
            <w:r w:rsidRPr="00261BDE">
              <w:rPr>
                <w:rFonts w:ascii="仿宋_GB2312" w:eastAsia="仿宋_GB2312" w:hAnsi="宋体" w:cs="宋体" w:hint="eastAsia"/>
                <w:color w:val="666666"/>
                <w:sz w:val="24"/>
                <w:szCs w:val="24"/>
              </w:rPr>
              <w:t>级</w:t>
            </w:r>
          </w:p>
        </w:tc>
        <w:tc>
          <w:tcPr>
            <w:tcW w:w="16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20</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15</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10</w:t>
            </w:r>
          </w:p>
        </w:tc>
        <w:tc>
          <w:tcPr>
            <w:tcW w:w="24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15</w:t>
            </w:r>
          </w:p>
        </w:tc>
      </w:tr>
      <w:tr w:rsidR="00261BDE" w:rsidRPr="00261BDE">
        <w:trPr>
          <w:trHeight w:val="285"/>
        </w:trPr>
        <w:tc>
          <w:tcPr>
            <w:tcW w:w="15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 xml:space="preserve">省 </w:t>
            </w:r>
            <w:r w:rsidRPr="00261BDE">
              <w:rPr>
                <w:rFonts w:ascii="仿宋_GB2312" w:eastAsia="仿宋_GB2312" w:hAnsi="宋体" w:cs="宋体" w:hint="eastAsia"/>
                <w:color w:val="666666"/>
                <w:sz w:val="24"/>
                <w:szCs w:val="24"/>
              </w:rPr>
              <w:t> </w:t>
            </w:r>
            <w:r w:rsidRPr="00261BDE">
              <w:rPr>
                <w:rFonts w:ascii="仿宋_GB2312" w:eastAsia="仿宋_GB2312" w:hAnsi="宋体" w:cs="宋体" w:hint="eastAsia"/>
                <w:color w:val="666666"/>
                <w:sz w:val="24"/>
                <w:szCs w:val="24"/>
              </w:rPr>
              <w:t>级</w:t>
            </w:r>
          </w:p>
        </w:tc>
        <w:tc>
          <w:tcPr>
            <w:tcW w:w="16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30</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25</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20</w:t>
            </w:r>
          </w:p>
        </w:tc>
        <w:tc>
          <w:tcPr>
            <w:tcW w:w="24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25</w:t>
            </w:r>
          </w:p>
        </w:tc>
      </w:tr>
      <w:tr w:rsidR="00261BDE" w:rsidRPr="00261BDE">
        <w:trPr>
          <w:trHeight w:val="315"/>
        </w:trPr>
        <w:tc>
          <w:tcPr>
            <w:tcW w:w="15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国家级</w:t>
            </w:r>
          </w:p>
        </w:tc>
        <w:tc>
          <w:tcPr>
            <w:tcW w:w="16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40</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35</w:t>
            </w:r>
          </w:p>
        </w:tc>
        <w:tc>
          <w:tcPr>
            <w:tcW w:w="153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30</w:t>
            </w:r>
          </w:p>
        </w:tc>
        <w:tc>
          <w:tcPr>
            <w:tcW w:w="24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24"/>
                <w:szCs w:val="24"/>
              </w:rPr>
              <w:t>35</w:t>
            </w:r>
          </w:p>
        </w:tc>
      </w:tr>
    </w:tbl>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hint="eastAsia"/>
          <w:color w:val="666666"/>
          <w:sz w:val="18"/>
          <w:szCs w:val="18"/>
        </w:rPr>
      </w:pPr>
      <w:r w:rsidRPr="00261BDE">
        <w:rPr>
          <w:rFonts w:ascii="黑体" w:eastAsia="黑体" w:hAnsi="黑体" w:cs="宋体" w:hint="eastAsia"/>
          <w:color w:val="666666"/>
          <w:sz w:val="32"/>
          <w:szCs w:val="32"/>
        </w:rPr>
        <w:t>论文著作</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1035"/>
        <w:gridCol w:w="1110"/>
        <w:gridCol w:w="900"/>
        <w:gridCol w:w="1050"/>
        <w:gridCol w:w="1005"/>
        <w:gridCol w:w="1020"/>
        <w:gridCol w:w="1260"/>
      </w:tblGrid>
      <w:tr w:rsidR="00261BDE" w:rsidRPr="00261BDE">
        <w:trPr>
          <w:trHeight w:val="360"/>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after="0"/>
              <w:rPr>
                <w:rFonts w:ascii="宋体" w:eastAsia="宋体" w:hAnsi="宋体" w:cs="宋体"/>
                <w:color w:val="666666"/>
                <w:sz w:val="18"/>
                <w:szCs w:val="18"/>
              </w:rPr>
            </w:pPr>
          </w:p>
        </w:tc>
        <w:tc>
          <w:tcPr>
            <w:tcW w:w="1035"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论文</w:t>
            </w:r>
          </w:p>
        </w:tc>
        <w:tc>
          <w:tcPr>
            <w:tcW w:w="3060" w:type="dxa"/>
            <w:gridSpan w:val="3"/>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ind w:firstLine="840"/>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专著</w:t>
            </w:r>
          </w:p>
        </w:tc>
        <w:tc>
          <w:tcPr>
            <w:tcW w:w="3285" w:type="dxa"/>
            <w:gridSpan w:val="3"/>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ind w:firstLine="1050"/>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学术交流论文</w:t>
            </w:r>
          </w:p>
        </w:tc>
      </w:tr>
      <w:tr w:rsidR="00261BDE" w:rsidRPr="00261BDE">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1BDE" w:rsidRPr="00261BDE" w:rsidRDefault="00261BDE" w:rsidP="00261BDE">
            <w:pPr>
              <w:adjustRightInd/>
              <w:snapToGrid/>
              <w:spacing w:after="0"/>
              <w:rPr>
                <w:rFonts w:ascii="宋体" w:eastAsia="宋体" w:hAnsi="宋体" w:cs="宋体"/>
                <w:color w:val="666666"/>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261BDE" w:rsidRPr="00261BDE" w:rsidRDefault="00261BDE" w:rsidP="00261BDE">
            <w:pPr>
              <w:adjustRightInd/>
              <w:snapToGrid/>
              <w:spacing w:after="0"/>
              <w:rPr>
                <w:rFonts w:ascii="宋体" w:eastAsia="宋体" w:hAnsi="宋体" w:cs="宋体"/>
                <w:color w:val="666666"/>
                <w:sz w:val="18"/>
                <w:szCs w:val="18"/>
              </w:rPr>
            </w:pPr>
          </w:p>
        </w:tc>
        <w:tc>
          <w:tcPr>
            <w:tcW w:w="11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165"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一位</w:t>
            </w:r>
          </w:p>
        </w:tc>
        <w:tc>
          <w:tcPr>
            <w:tcW w:w="9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165"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二位</w:t>
            </w:r>
          </w:p>
        </w:tc>
        <w:tc>
          <w:tcPr>
            <w:tcW w:w="10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165"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三位</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165"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一等奖</w:t>
            </w:r>
          </w:p>
        </w:tc>
        <w:tc>
          <w:tcPr>
            <w:tcW w:w="10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165"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二等奖</w:t>
            </w:r>
          </w:p>
        </w:tc>
        <w:tc>
          <w:tcPr>
            <w:tcW w:w="12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165"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三等奖</w:t>
            </w:r>
          </w:p>
        </w:tc>
      </w:tr>
      <w:tr w:rsidR="00261BDE" w:rsidRPr="00261BDE">
        <w:trPr>
          <w:trHeight w:val="375"/>
        </w:trPr>
        <w:tc>
          <w:tcPr>
            <w:tcW w:w="10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地市级</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5</w:t>
            </w:r>
          </w:p>
        </w:tc>
        <w:tc>
          <w:tcPr>
            <w:tcW w:w="11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20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18</w:t>
            </w:r>
          </w:p>
        </w:tc>
        <w:tc>
          <w:tcPr>
            <w:tcW w:w="10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15</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3</w:t>
            </w:r>
          </w:p>
        </w:tc>
        <w:tc>
          <w:tcPr>
            <w:tcW w:w="10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2</w:t>
            </w:r>
          </w:p>
        </w:tc>
        <w:tc>
          <w:tcPr>
            <w:tcW w:w="12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1</w:t>
            </w:r>
          </w:p>
        </w:tc>
      </w:tr>
      <w:tr w:rsidR="00261BDE" w:rsidRPr="00261BDE">
        <w:trPr>
          <w:trHeight w:val="360"/>
        </w:trPr>
        <w:tc>
          <w:tcPr>
            <w:tcW w:w="10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省部级</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10</w:t>
            </w:r>
          </w:p>
        </w:tc>
        <w:tc>
          <w:tcPr>
            <w:tcW w:w="11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30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25</w:t>
            </w:r>
          </w:p>
        </w:tc>
        <w:tc>
          <w:tcPr>
            <w:tcW w:w="10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20</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8</w:t>
            </w:r>
          </w:p>
        </w:tc>
        <w:tc>
          <w:tcPr>
            <w:tcW w:w="10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6</w:t>
            </w:r>
          </w:p>
        </w:tc>
        <w:tc>
          <w:tcPr>
            <w:tcW w:w="12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4</w:t>
            </w:r>
          </w:p>
        </w:tc>
      </w:tr>
      <w:tr w:rsidR="00261BDE" w:rsidRPr="00261BDE">
        <w:trPr>
          <w:trHeight w:val="375"/>
        </w:trPr>
        <w:tc>
          <w:tcPr>
            <w:tcW w:w="10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国家级</w:t>
            </w:r>
          </w:p>
        </w:tc>
        <w:tc>
          <w:tcPr>
            <w:tcW w:w="1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20</w:t>
            </w:r>
          </w:p>
        </w:tc>
        <w:tc>
          <w:tcPr>
            <w:tcW w:w="11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40</w:t>
            </w:r>
          </w:p>
        </w:tc>
        <w:tc>
          <w:tcPr>
            <w:tcW w:w="9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35</w:t>
            </w:r>
          </w:p>
        </w:tc>
        <w:tc>
          <w:tcPr>
            <w:tcW w:w="10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30</w:t>
            </w:r>
          </w:p>
        </w:tc>
        <w:tc>
          <w:tcPr>
            <w:tcW w:w="10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12</w:t>
            </w:r>
          </w:p>
        </w:tc>
        <w:tc>
          <w:tcPr>
            <w:tcW w:w="10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9</w:t>
            </w:r>
          </w:p>
        </w:tc>
        <w:tc>
          <w:tcPr>
            <w:tcW w:w="12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6</w:t>
            </w:r>
          </w:p>
        </w:tc>
      </w:tr>
    </w:tbl>
    <w:p w:rsidR="00261BDE" w:rsidRPr="00261BDE" w:rsidRDefault="00261BDE" w:rsidP="00261BDE">
      <w:pPr>
        <w:adjustRightInd/>
        <w:snapToGrid/>
        <w:spacing w:before="100" w:beforeAutospacing="1" w:after="100" w:afterAutospacing="1" w:line="600" w:lineRule="atLeast"/>
        <w:jc w:val="center"/>
        <w:rPr>
          <w:rFonts w:ascii="宋体" w:eastAsia="宋体" w:hAnsi="宋体" w:cs="宋体" w:hint="eastAsia"/>
          <w:color w:val="666666"/>
          <w:sz w:val="18"/>
          <w:szCs w:val="18"/>
        </w:rPr>
      </w:pPr>
      <w:r w:rsidRPr="00261BDE">
        <w:rPr>
          <w:rFonts w:ascii="黑体" w:eastAsia="黑体" w:hAnsi="黑体" w:cs="宋体" w:hint="eastAsia"/>
          <w:color w:val="666666"/>
          <w:sz w:val="32"/>
          <w:szCs w:val="32"/>
        </w:rPr>
        <w:t>考试</w:t>
      </w:r>
    </w:p>
    <w:tbl>
      <w:tblPr>
        <w:tblW w:w="0" w:type="auto"/>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9"/>
        <w:gridCol w:w="5602"/>
      </w:tblGrid>
      <w:tr w:rsidR="00261BDE" w:rsidRPr="00261BDE">
        <w:trPr>
          <w:trHeight w:val="765"/>
        </w:trPr>
        <w:tc>
          <w:tcPr>
            <w:tcW w:w="270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全国职称外语考试</w:t>
            </w:r>
          </w:p>
        </w:tc>
        <w:tc>
          <w:tcPr>
            <w:tcW w:w="57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考试合格的，A级9学分；B级6学分；C级3学分</w:t>
            </w:r>
          </w:p>
        </w:tc>
      </w:tr>
      <w:tr w:rsidR="00261BDE" w:rsidRPr="00261BDE">
        <w:trPr>
          <w:trHeight w:val="615"/>
        </w:trPr>
        <w:tc>
          <w:tcPr>
            <w:tcW w:w="270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全国计算机应用能力考试</w:t>
            </w:r>
          </w:p>
        </w:tc>
        <w:tc>
          <w:tcPr>
            <w:tcW w:w="57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61BDE" w:rsidRPr="00261BDE" w:rsidRDefault="00261BDE" w:rsidP="00261BDE">
            <w:pPr>
              <w:adjustRightInd/>
              <w:snapToGrid/>
              <w:spacing w:before="100" w:beforeAutospacing="1" w:after="100" w:afterAutospacing="1" w:line="600" w:lineRule="atLeast"/>
              <w:rPr>
                <w:rFonts w:ascii="宋体" w:eastAsia="宋体" w:hAnsi="宋体" w:cs="宋体"/>
                <w:color w:val="666666"/>
                <w:sz w:val="18"/>
                <w:szCs w:val="18"/>
              </w:rPr>
            </w:pPr>
            <w:r w:rsidRPr="00261BDE">
              <w:rPr>
                <w:rFonts w:ascii="仿宋_GB2312" w:eastAsia="仿宋_GB2312" w:hAnsi="宋体" w:cs="宋体" w:hint="eastAsia"/>
                <w:color w:val="666666"/>
                <w:sz w:val="18"/>
                <w:szCs w:val="18"/>
              </w:rPr>
              <w:t>每个成绩合格考试模块折算2学分</w:t>
            </w:r>
          </w:p>
        </w:tc>
      </w:tr>
    </w:tbl>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黑体" w:eastAsia="黑体" w:hAnsi="黑体" w:cs="宋体" w:hint="eastAsia"/>
          <w:color w:val="666666"/>
          <w:sz w:val="32"/>
          <w:szCs w:val="32"/>
        </w:rPr>
        <w:lastRenderedPageBreak/>
        <w:t>四、其他事项要求</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（一）继续教育完成情况是专业技术人员考核评价和岗位聘用的重要依据，是申报评审中、高级专业技术职务资格的必备条件。拟晋升专业技术职务资格的，学分计算周期从</w:t>
      </w:r>
      <w:proofErr w:type="gramStart"/>
      <w:r w:rsidRPr="00261BDE">
        <w:rPr>
          <w:rFonts w:ascii="仿宋_GB2312" w:eastAsia="仿宋_GB2312" w:hAnsi="宋体" w:cs="宋体" w:hint="eastAsia"/>
          <w:color w:val="666666"/>
          <w:sz w:val="32"/>
          <w:szCs w:val="32"/>
        </w:rPr>
        <w:t>现取得</w:t>
      </w:r>
      <w:proofErr w:type="gramEnd"/>
      <w:r w:rsidRPr="00261BDE">
        <w:rPr>
          <w:rFonts w:ascii="仿宋_GB2312" w:eastAsia="仿宋_GB2312" w:hAnsi="宋体" w:cs="宋体" w:hint="eastAsia"/>
          <w:color w:val="666666"/>
          <w:sz w:val="32"/>
          <w:szCs w:val="32"/>
        </w:rPr>
        <w:t>专业技术职务资格开始,超过5年的以最近5年计。拟聘事业单位更高层级岗位的，学分计算周期从现聘专业技术职务开始，超过5年的以最近5年计。拟聘事业单位同层级内更高等级岗位，聘任副高级及以下岗位的按最近3年计；</w:t>
      </w:r>
      <w:proofErr w:type="gramStart"/>
      <w:r w:rsidRPr="00261BDE">
        <w:rPr>
          <w:rFonts w:ascii="仿宋_GB2312" w:eastAsia="仿宋_GB2312" w:hAnsi="宋体" w:cs="宋体" w:hint="eastAsia"/>
          <w:color w:val="666666"/>
          <w:sz w:val="32"/>
          <w:szCs w:val="32"/>
        </w:rPr>
        <w:t>聘任正</w:t>
      </w:r>
      <w:proofErr w:type="gramEnd"/>
      <w:r w:rsidRPr="00261BDE">
        <w:rPr>
          <w:rFonts w:ascii="仿宋_GB2312" w:eastAsia="仿宋_GB2312" w:hAnsi="宋体" w:cs="宋体" w:hint="eastAsia"/>
          <w:color w:val="666666"/>
          <w:sz w:val="32"/>
          <w:szCs w:val="32"/>
        </w:rPr>
        <w:t>高级岗位的按最近5年计。</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（二）实行诚信承诺机制，专业技术人员</w:t>
      </w:r>
      <w:proofErr w:type="gramStart"/>
      <w:r w:rsidRPr="00261BDE">
        <w:rPr>
          <w:rFonts w:ascii="仿宋_GB2312" w:eastAsia="仿宋_GB2312" w:hAnsi="宋体" w:cs="宋体" w:hint="eastAsia"/>
          <w:color w:val="666666"/>
          <w:sz w:val="32"/>
          <w:szCs w:val="32"/>
        </w:rPr>
        <w:t>须签署</w:t>
      </w:r>
      <w:proofErr w:type="gramEnd"/>
      <w:r w:rsidRPr="00261BDE">
        <w:rPr>
          <w:rFonts w:ascii="仿宋_GB2312" w:eastAsia="仿宋_GB2312" w:hAnsi="宋体" w:cs="宋体" w:hint="eastAsia"/>
          <w:color w:val="666666"/>
          <w:sz w:val="32"/>
          <w:szCs w:val="32"/>
        </w:rPr>
        <w:t>《诚信承诺书》,保证所提交的证书证明、论文论著、科研成果等材料真实可信。用人单位及有关部门要切实履行职责,认真做好相关证件证明材料的审核工作。论文、著作，须通过国家新闻出版广电总局网站等进行出版刊物合法性查询。论文须在“中国知网”、“万方数据”等主流数据库进行全文检索。学术造假或提供虚假证明材料的，一律不予以登记学分。专利须通过国家知识产权局网站等进行检索查询。</w:t>
      </w:r>
    </w:p>
    <w:p w:rsidR="00261BDE" w:rsidRPr="00261BDE" w:rsidRDefault="00261BDE" w:rsidP="00261BDE">
      <w:pPr>
        <w:adjustRightInd/>
        <w:snapToGrid/>
        <w:spacing w:before="100" w:beforeAutospacing="1" w:after="100" w:afterAutospacing="1" w:line="600" w:lineRule="atLeast"/>
        <w:ind w:firstLine="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（三）加强继续教育学</w:t>
      </w:r>
      <w:proofErr w:type="gramStart"/>
      <w:r w:rsidRPr="00261BDE">
        <w:rPr>
          <w:rFonts w:ascii="仿宋_GB2312" w:eastAsia="仿宋_GB2312" w:hAnsi="宋体" w:cs="宋体" w:hint="eastAsia"/>
          <w:color w:val="666666"/>
          <w:sz w:val="32"/>
          <w:szCs w:val="32"/>
        </w:rPr>
        <w:t>分登记</w:t>
      </w:r>
      <w:proofErr w:type="gramEnd"/>
      <w:r w:rsidRPr="00261BDE">
        <w:rPr>
          <w:rFonts w:ascii="仿宋_GB2312" w:eastAsia="仿宋_GB2312" w:hAnsi="宋体" w:cs="宋体" w:hint="eastAsia"/>
          <w:color w:val="666666"/>
          <w:sz w:val="32"/>
          <w:szCs w:val="32"/>
        </w:rPr>
        <w:t>监管工作，用人单位、主管部门、人力资源社会保障部门及其工作人员，在继续</w:t>
      </w:r>
      <w:r w:rsidRPr="00261BDE">
        <w:rPr>
          <w:rFonts w:ascii="仿宋_GB2312" w:eastAsia="仿宋_GB2312" w:hAnsi="宋体" w:cs="宋体" w:hint="eastAsia"/>
          <w:color w:val="666666"/>
          <w:sz w:val="32"/>
          <w:szCs w:val="32"/>
        </w:rPr>
        <w:lastRenderedPageBreak/>
        <w:t>教育学分管理工作中不认真履行职责或者徇私舞弊、滥用职权、玩忽职守的，依纪依规予以处理。</w:t>
      </w:r>
    </w:p>
    <w:p w:rsidR="00261BDE" w:rsidRPr="00261BDE" w:rsidRDefault="00261BDE" w:rsidP="00261BDE">
      <w:pPr>
        <w:adjustRightInd/>
        <w:snapToGrid/>
        <w:spacing w:before="100" w:beforeAutospacing="1" w:after="100" w:afterAutospacing="1" w:line="600" w:lineRule="atLeast"/>
        <w:ind w:firstLine="420"/>
        <w:rPr>
          <w:rFonts w:ascii="宋体" w:eastAsia="宋体" w:hAnsi="宋体" w:cs="宋体" w:hint="eastAsia"/>
          <w:color w:val="666666"/>
          <w:sz w:val="18"/>
          <w:szCs w:val="18"/>
        </w:rPr>
      </w:pPr>
      <w:r w:rsidRPr="00261BDE">
        <w:rPr>
          <w:rFonts w:ascii="仿宋_GB2312" w:eastAsia="仿宋_GB2312" w:hAnsi="宋体" w:cs="宋体" w:hint="eastAsia"/>
          <w:color w:val="666666"/>
          <w:sz w:val="18"/>
          <w:szCs w:val="18"/>
        </w:rPr>
        <w:t> </w:t>
      </w:r>
      <w:r w:rsidRPr="00261BDE">
        <w:rPr>
          <w:rFonts w:ascii="仿宋_GB2312" w:eastAsia="仿宋_GB2312" w:hAnsi="宋体" w:cs="宋体" w:hint="eastAsia"/>
          <w:color w:val="666666"/>
          <w:sz w:val="18"/>
          <w:szCs w:val="18"/>
        </w:rPr>
        <w:t xml:space="preserve"> </w:t>
      </w:r>
    </w:p>
    <w:p w:rsidR="00261BDE" w:rsidRPr="00261BDE" w:rsidRDefault="00261BDE" w:rsidP="00261BDE">
      <w:pPr>
        <w:adjustRightInd/>
        <w:snapToGrid/>
        <w:spacing w:before="100" w:beforeAutospacing="1" w:after="100" w:afterAutospacing="1" w:line="600" w:lineRule="atLeast"/>
        <w:ind w:firstLine="4005"/>
        <w:jc w:val="right"/>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东营市人力资源和社会保障局</w:t>
      </w:r>
    </w:p>
    <w:p w:rsidR="00261BDE" w:rsidRPr="00261BDE" w:rsidRDefault="00261BDE" w:rsidP="00261BDE">
      <w:pPr>
        <w:adjustRightInd/>
        <w:snapToGrid/>
        <w:spacing w:before="100" w:beforeAutospacing="1" w:after="100" w:afterAutospacing="1" w:line="600" w:lineRule="atLeast"/>
        <w:jc w:val="right"/>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2017年3月17日</w:t>
      </w:r>
    </w:p>
    <w:p w:rsidR="00261BDE" w:rsidRPr="00261BDE" w:rsidRDefault="00261BDE" w:rsidP="00261BDE">
      <w:pPr>
        <w:adjustRightInd/>
        <w:snapToGrid/>
        <w:spacing w:after="0" w:line="600" w:lineRule="atLeast"/>
        <w:ind w:right="64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 </w:t>
      </w:r>
      <w:r w:rsidRPr="00261BDE">
        <w:rPr>
          <w:rFonts w:ascii="仿宋_GB2312" w:eastAsia="仿宋_GB2312" w:hAnsi="宋体" w:cs="宋体" w:hint="eastAsia"/>
          <w:color w:val="666666"/>
          <w:sz w:val="32"/>
          <w:szCs w:val="32"/>
        </w:rPr>
        <w:t xml:space="preserve"> </w:t>
      </w:r>
      <w:r w:rsidRPr="00261BDE">
        <w:rPr>
          <w:rFonts w:ascii="仿宋_GB2312" w:eastAsia="仿宋_GB2312" w:hAnsi="宋体" w:cs="宋体" w:hint="eastAsia"/>
          <w:color w:val="666666"/>
          <w:sz w:val="32"/>
          <w:szCs w:val="32"/>
        </w:rPr>
        <w:t> </w:t>
      </w:r>
    </w:p>
    <w:p w:rsidR="00261BDE" w:rsidRPr="00261BDE" w:rsidRDefault="00261BDE" w:rsidP="00261BDE">
      <w:pPr>
        <w:adjustRightInd/>
        <w:snapToGrid/>
        <w:spacing w:before="100" w:beforeAutospacing="1" w:after="100" w:afterAutospacing="1" w:line="600" w:lineRule="atLeast"/>
        <w:ind w:firstLine="165"/>
        <w:rPr>
          <w:rFonts w:ascii="宋体" w:eastAsia="宋体" w:hAnsi="宋体" w:cs="宋体" w:hint="eastAsia"/>
          <w:color w:val="666666"/>
          <w:sz w:val="18"/>
          <w:szCs w:val="18"/>
        </w:rPr>
      </w:pPr>
      <w:r w:rsidRPr="00261BDE">
        <w:rPr>
          <w:rFonts w:ascii="仿宋_GB2312" w:eastAsia="仿宋_GB2312" w:hAnsi="宋体" w:cs="宋体" w:hint="eastAsia"/>
          <w:color w:val="666666"/>
          <w:sz w:val="32"/>
          <w:szCs w:val="32"/>
        </w:rPr>
        <w:t xml:space="preserve">东营市人力资源和社会保障局办公室 </w:t>
      </w:r>
      <w:r w:rsidRPr="00261BDE">
        <w:rPr>
          <w:rFonts w:ascii="仿宋_GB2312" w:eastAsia="仿宋_GB2312" w:hAnsi="宋体" w:cs="宋体" w:hint="eastAsia"/>
          <w:color w:val="666666"/>
          <w:sz w:val="32"/>
          <w:szCs w:val="32"/>
        </w:rPr>
        <w:t> </w:t>
      </w:r>
      <w:r w:rsidRPr="00261BDE">
        <w:rPr>
          <w:rFonts w:ascii="仿宋_GB2312" w:eastAsia="仿宋_GB2312" w:hAnsi="宋体" w:cs="宋体" w:hint="eastAsia"/>
          <w:color w:val="666666"/>
          <w:sz w:val="32"/>
          <w:szCs w:val="32"/>
        </w:rPr>
        <w:t>2017年3月17日印发</w:t>
      </w:r>
    </w:p>
    <w:p w:rsidR="004358AB" w:rsidRPr="00261BDE" w:rsidRDefault="004358AB" w:rsidP="00D31D50">
      <w:pPr>
        <w:spacing w:line="220" w:lineRule="atLeast"/>
      </w:pPr>
    </w:p>
    <w:sectPr w:rsidR="004358AB" w:rsidRPr="00261BDE"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261BDE"/>
    <w:rsid w:val="00323B43"/>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BDE"/>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2018-08-22T09:03:00Z</dcterms:modified>
</cp:coreProperties>
</file>